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Profiteers.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51?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dissidents?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1930s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handicapped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Eichmann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obsolete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(NCRC)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NCRC,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NCRC,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nnc,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um-huh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Dkg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Adapted_p3_final (Completed  05/05/23)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TrAMow0QrQYtuGpmrgOVODLCwLcHv4r4KXk1PHooYOwo_EBlY3jKoO6RBdLoJogHvbmXSsLdR_DWTDUTEULqLWAH7u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